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DB3CC" w14:textId="68B29ACD" w:rsidR="00B06071" w:rsidRDefault="00573CCC" w:rsidP="00573CCC">
      <w:pPr>
        <w:pStyle w:val="NormalWeb"/>
        <w:numPr>
          <w:ilvl w:val="0"/>
          <w:numId w:val="10"/>
        </w:numPr>
        <w:jc w:val="both"/>
      </w:pPr>
      <w:r>
        <w:rPr>
          <w:rStyle w:val="Gl"/>
        </w:rPr>
        <w:t>MİSYON</w:t>
      </w:r>
      <w:bookmarkStart w:id="0" w:name="_GoBack"/>
      <w:bookmarkEnd w:id="0"/>
    </w:p>
    <w:p w14:paraId="4A21D3BC" w14:textId="443D993E" w:rsidR="004F7EA1" w:rsidRDefault="004F7EA1" w:rsidP="00573CCC">
      <w:pPr>
        <w:pStyle w:val="NormalWeb"/>
        <w:jc w:val="both"/>
      </w:pPr>
      <w:r w:rsidRPr="004F7EA1">
        <w:t>Derecelendirme ve Protokoller Koordinatörlüğü’nün misyonu; Tokat</w:t>
      </w:r>
      <w:r w:rsidR="00890E0A">
        <w:t xml:space="preserve"> </w:t>
      </w:r>
      <w:r w:rsidRPr="004F7EA1">
        <w:t xml:space="preserve">Gaziosmanpaşa Üniversitesi’nin ulusal ve uluslararası yükseköğretim derecelendirme sistemlerindeki konumunun doğru, güvenilir ve şeffaf biçimde belirlenmesini temin etmek, bu kapsamda yürütülen planlama, izleme, raporlama ve değerlendirme süreçlerini üst yönetimle eşgüdüm içerisinde gerçekleştirmek, derecelendirme kriterlerinin belirlenmesi, güncellenmesi ve kurumsal kalite güvence mekanizmalarına </w:t>
      </w:r>
      <w:proofErr w:type="gramStart"/>
      <w:r w:rsidRPr="004F7EA1">
        <w:t>entegre</w:t>
      </w:r>
      <w:proofErr w:type="gramEnd"/>
      <w:r w:rsidRPr="004F7EA1">
        <w:t xml:space="preserve"> edilmesi suretiyle Üniversite’nin kurumsal gelişimine katkı sağlamak, ulusal ve uluslararası derecelendirme kuruluşları ile etkin ve sürekli iletişim tesis ederek veri ve bilgi akışını koordine etmek, Üniversite’nin yurt içi ve yurt dışı yükseköğretim kurumlarıyla gerçekleştirdiği iş birliği protokollerinin hazırlanması, yürütülmesi ve takibini sağlamak, bu süreçlere ilişkin resmi yazışma, toplantı, görüşme ve işlemleri yürütmek, ortaya çıkan sorunları analiz ederek çözüm önerileri geliştirmek ve sürekli iyileştirmeler yapmak, ayrıca iç ve dış denetim süreçlerine katkı sunmak, gerekli raporları hazırlamak ve uygulamaları değerlendirmek suretiyle Üniversite’nin ulusal ve uluslararası alandaki görünürlüğünü, tanınırlığını ve rekabet gücünü artırmaktır.</w:t>
      </w:r>
    </w:p>
    <w:p w14:paraId="422CD490" w14:textId="46A6F866" w:rsidR="00B06071" w:rsidRDefault="00573CCC" w:rsidP="00573CCC">
      <w:pPr>
        <w:pStyle w:val="NormalWeb"/>
        <w:numPr>
          <w:ilvl w:val="0"/>
          <w:numId w:val="10"/>
        </w:numPr>
        <w:jc w:val="both"/>
      </w:pPr>
      <w:r>
        <w:rPr>
          <w:rStyle w:val="Gl"/>
        </w:rPr>
        <w:t xml:space="preserve">VİZYON </w:t>
      </w:r>
    </w:p>
    <w:p w14:paraId="4D59EB6F" w14:textId="7922AF6A" w:rsidR="002119D5" w:rsidRPr="00C12E73" w:rsidRDefault="009E5D80" w:rsidP="00573CCC">
      <w:pPr>
        <w:spacing w:before="120" w:after="120"/>
        <w:ind w:right="-283"/>
        <w:jc w:val="both"/>
        <w:rPr>
          <w:rFonts w:ascii="Times New Roman" w:hAnsi="Times New Roman"/>
          <w:sz w:val="24"/>
          <w:szCs w:val="24"/>
        </w:rPr>
      </w:pPr>
      <w:proofErr w:type="gramStart"/>
      <w:r w:rsidRPr="009E5D80">
        <w:rPr>
          <w:rFonts w:ascii="Times New Roman" w:eastAsia="Times New Roman" w:hAnsi="Times New Roman" w:cs="Times New Roman"/>
          <w:sz w:val="24"/>
          <w:szCs w:val="24"/>
          <w:lang w:eastAsia="tr-TR"/>
        </w:rPr>
        <w:t xml:space="preserve">Derecelendirme ve Protokoller Koordinatörlüğü; Tokat Gaziosmanpaşa Üniversitesi’nin ulusal ve uluslararası yükseköğretim derecelendirme sistemlerinde konumunun doğru, güvenilir, şeffaf ve sürdürülebilir biçimde belirlenmesini temin ederek, Üniversitemizin bilimsel, akademik ve kurumsal itibarını en üst düzeyde temsil eden, yükseköğretimde kalite güvencesi ve kurumsal sürdürülebilirlik ilkelerini esas alan, bu doğrultuda Üniversite faaliyetlerine katkı sağlayan ve kurum içi farkındalık oluşturan öncü bir yapı olmayı hedeflemektedir. </w:t>
      </w:r>
      <w:proofErr w:type="gramEnd"/>
      <w:r w:rsidRPr="009E5D80">
        <w:rPr>
          <w:rFonts w:ascii="Times New Roman" w:eastAsia="Times New Roman" w:hAnsi="Times New Roman" w:cs="Times New Roman"/>
          <w:sz w:val="24"/>
          <w:szCs w:val="24"/>
          <w:lang w:eastAsia="tr-TR"/>
        </w:rPr>
        <w:t>Ayrıca, Üniversitemizin yurt içi ve yurt dışı yükseköğretim kurumları ile kamu ve özel sektör kuruluşlarıyla iş birliği süreçlerini etkin ve verimli şekilde koordine eden, protokol uygulamalarında ulusal mevzuata ve uluslararası iyi uygulama örneklerine uyum sağlayarak Üniversitemizin kurumsal kapasitesini güçlendiren, şeffaf ve hesap verebilir yönetim anlayışını benimseyen bir birim olarak yükseköğretim alanında örnek gösterilen bir konuma ulaşmayı vizyon edinmiştir.</w:t>
      </w:r>
    </w:p>
    <w:p w14:paraId="0DA9DB64" w14:textId="77777777" w:rsidR="001F1344" w:rsidRDefault="001F1344" w:rsidP="001F1344">
      <w:pPr>
        <w:spacing w:before="120" w:after="120"/>
        <w:rPr>
          <w:rFonts w:ascii="Times New Roman" w:hAnsi="Times New Roman"/>
          <w:sz w:val="24"/>
          <w:szCs w:val="24"/>
        </w:rPr>
      </w:pPr>
    </w:p>
    <w:p w14:paraId="48524B8B" w14:textId="77777777" w:rsidR="00FB25C5" w:rsidRDefault="00FB25C5" w:rsidP="001F1344">
      <w:pPr>
        <w:spacing w:before="120" w:after="120"/>
        <w:rPr>
          <w:rFonts w:ascii="Times New Roman" w:hAnsi="Times New Roman"/>
          <w:sz w:val="24"/>
          <w:szCs w:val="24"/>
        </w:rPr>
      </w:pPr>
    </w:p>
    <w:p w14:paraId="1828E086" w14:textId="77777777" w:rsidR="000D715F" w:rsidRDefault="000D715F" w:rsidP="000D715F">
      <w:pPr>
        <w:spacing w:after="120"/>
        <w:rPr>
          <w:rFonts w:ascii="Times New Roman" w:eastAsia="Calibri" w:hAnsi="Times New Roman" w:cs="Times New Roman"/>
          <w:sz w:val="24"/>
          <w:szCs w:val="24"/>
        </w:rPr>
      </w:pPr>
    </w:p>
    <w:p w14:paraId="733A4407" w14:textId="77777777" w:rsidR="0080200E" w:rsidRDefault="0080200E" w:rsidP="000C7014">
      <w:pPr>
        <w:jc w:val="both"/>
        <w:rPr>
          <w:rFonts w:ascii="Times New Roman" w:hAnsi="Times New Roman" w:cs="Times New Roman"/>
          <w:b/>
          <w:sz w:val="24"/>
        </w:rPr>
      </w:pPr>
    </w:p>
    <w:sectPr w:rsidR="0080200E" w:rsidSect="002119D5">
      <w:headerReference w:type="default" r:id="rId8"/>
      <w:footerReference w:type="even" r:id="rId9"/>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18B6C" w14:textId="77777777" w:rsidR="00395219" w:rsidRDefault="00395219" w:rsidP="003B07E6">
      <w:pPr>
        <w:spacing w:after="0" w:line="240" w:lineRule="auto"/>
      </w:pPr>
      <w:r>
        <w:separator/>
      </w:r>
    </w:p>
  </w:endnote>
  <w:endnote w:type="continuationSeparator" w:id="0">
    <w:p w14:paraId="569A4350" w14:textId="77777777" w:rsidR="00395219" w:rsidRDefault="00395219" w:rsidP="003B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698EA" w14:textId="77777777" w:rsidR="00BE0523" w:rsidRDefault="00BE0523" w:rsidP="00BE0523">
    <w:pPr>
      <w:pStyle w:val="AltBilgi"/>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85D75" w14:textId="77777777" w:rsidR="004543A3" w:rsidRDefault="004543A3" w:rsidP="00F92640">
    <w:pPr>
      <w:tabs>
        <w:tab w:val="center" w:pos="4536"/>
        <w:tab w:val="right" w:pos="9072"/>
      </w:tabs>
      <w:spacing w:after="0" w:line="240" w:lineRule="auto"/>
      <w:rPr>
        <w:rFonts w:ascii="Times New Roman" w:eastAsia="Calibri" w:hAnsi="Times New Roman" w:cs="Times New Roman"/>
        <w:i/>
        <w:color w:val="FF0000"/>
        <w:sz w:val="16"/>
        <w:szCs w:val="16"/>
      </w:rPr>
    </w:pPr>
  </w:p>
  <w:p w14:paraId="2E56184E" w14:textId="77777777" w:rsidR="00F92640" w:rsidRPr="00E87C9F" w:rsidRDefault="00F92640" w:rsidP="00F92640">
    <w:pPr>
      <w:tabs>
        <w:tab w:val="center" w:pos="4536"/>
        <w:tab w:val="right" w:pos="9072"/>
      </w:tabs>
      <w:spacing w:after="0" w:line="240" w:lineRule="auto"/>
      <w:rPr>
        <w:rFonts w:ascii="Calibri" w:eastAsia="Calibri" w:hAnsi="Calibri" w:cs="Times New Roman"/>
        <w:color w:val="FF0000"/>
        <w:sz w:val="24"/>
      </w:rPr>
    </w:pPr>
    <w:r w:rsidRPr="00E87C9F">
      <w:rPr>
        <w:rFonts w:ascii="Times New Roman" w:eastAsia="Calibri" w:hAnsi="Times New Roman" w:cs="Times New Roman"/>
        <w:i/>
        <w:color w:val="FF0000"/>
        <w:sz w:val="18"/>
        <w:szCs w:val="16"/>
      </w:rPr>
      <w:t xml:space="preserve">Bu dokümanın basılı hali kontrolsüz doküman kabul edilmektedir. Lütfen web sitesinden en son versiyonuna ulaşınız. </w:t>
    </w:r>
    <w:r w:rsidRPr="00E87C9F">
      <w:rPr>
        <w:rFonts w:ascii="Calibri" w:eastAsia="Calibri" w:hAnsi="Calibri" w:cs="Times New Roman"/>
        <w:color w:val="FF0000"/>
        <w:szCs w:val="20"/>
      </w:rPr>
      <w:t xml:space="preserve">                          </w:t>
    </w:r>
  </w:p>
  <w:p w14:paraId="37EF257A" w14:textId="77777777" w:rsidR="00C375CE" w:rsidRPr="00E87C9F" w:rsidRDefault="00C375CE">
    <w:pPr>
      <w:pStyle w:val="AltBilgi"/>
      <w:rPr>
        <w:color w:val="FF0000"/>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39EF5" w14:textId="77777777" w:rsidR="00395219" w:rsidRDefault="00395219" w:rsidP="003B07E6">
      <w:pPr>
        <w:spacing w:after="0" w:line="240" w:lineRule="auto"/>
      </w:pPr>
      <w:r>
        <w:separator/>
      </w:r>
    </w:p>
  </w:footnote>
  <w:footnote w:type="continuationSeparator" w:id="0">
    <w:p w14:paraId="39CF3B42" w14:textId="77777777" w:rsidR="00395219" w:rsidRDefault="00395219" w:rsidP="003B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060" w:type="dxa"/>
      <w:tblLook w:val="04A0" w:firstRow="1" w:lastRow="0" w:firstColumn="1" w:lastColumn="0" w:noHBand="0" w:noVBand="1"/>
    </w:tblPr>
    <w:tblGrid>
      <w:gridCol w:w="1716"/>
      <w:gridCol w:w="4658"/>
      <w:gridCol w:w="1536"/>
      <w:gridCol w:w="2150"/>
    </w:tblGrid>
    <w:tr w:rsidR="002D04A8" w:rsidRPr="002212E8" w14:paraId="67F97EC4" w14:textId="77777777" w:rsidTr="009A3AB7">
      <w:trPr>
        <w:trHeight w:val="272"/>
      </w:trPr>
      <w:tc>
        <w:tcPr>
          <w:tcW w:w="1716" w:type="dxa"/>
          <w:vMerge w:val="restart"/>
          <w:vAlign w:val="center"/>
        </w:tcPr>
        <w:p w14:paraId="0B441F92" w14:textId="77777777" w:rsidR="00687B37" w:rsidRPr="002212E8" w:rsidRDefault="00687B37"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524A7749" wp14:editId="0DCF13F9">
                <wp:extent cx="952500" cy="944242"/>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14:paraId="602110EE" w14:textId="77777777" w:rsidR="00687B37" w:rsidRPr="0056648D" w:rsidRDefault="00687B37"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14:paraId="6F936156" w14:textId="77777777" w:rsidR="00687B37" w:rsidRPr="0056648D" w:rsidRDefault="00687B37"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14:paraId="040A0925" w14:textId="77777777" w:rsidR="00687B37" w:rsidRPr="00AD03C6" w:rsidRDefault="002119D5" w:rsidP="00B06071">
          <w:pPr>
            <w:jc w:val="center"/>
            <w:rPr>
              <w:rFonts w:ascii="Times New Roman" w:eastAsia="Century Gothic" w:hAnsi="Times New Roman" w:cs="Times New Roman"/>
              <w:b/>
            </w:rPr>
          </w:pPr>
          <w:r>
            <w:rPr>
              <w:rFonts w:ascii="Times New Roman" w:eastAsia="Century Gothic" w:hAnsi="Times New Roman" w:cs="Times New Roman"/>
              <w:b/>
              <w:sz w:val="24"/>
            </w:rPr>
            <w:t xml:space="preserve">Derecelendirme ve Protokoller Koordinatörlüğü </w:t>
          </w:r>
          <w:r w:rsidR="00B06071">
            <w:rPr>
              <w:rFonts w:ascii="Times New Roman" w:eastAsia="Century Gothic" w:hAnsi="Times New Roman" w:cs="Times New Roman"/>
              <w:b/>
              <w:sz w:val="24"/>
            </w:rPr>
            <w:t>Misyon ve Vizyonu</w:t>
          </w:r>
        </w:p>
      </w:tc>
      <w:tc>
        <w:tcPr>
          <w:tcW w:w="1536" w:type="dxa"/>
        </w:tcPr>
        <w:p w14:paraId="100D8F4F"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2150" w:type="dxa"/>
        </w:tcPr>
        <w:p w14:paraId="733F8C62" w14:textId="77777777" w:rsidR="00687B37" w:rsidRPr="002D40E2" w:rsidRDefault="00B06071"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TOGÜ.MSN</w:t>
          </w:r>
          <w:r w:rsidR="009A3786">
            <w:rPr>
              <w:rFonts w:ascii="Times New Roman" w:eastAsia="Century Gothic" w:hAnsi="Times New Roman"/>
              <w:sz w:val="20"/>
              <w:szCs w:val="20"/>
            </w:rPr>
            <w:t>.052</w:t>
          </w:r>
        </w:p>
      </w:tc>
    </w:tr>
    <w:tr w:rsidR="002D04A8" w:rsidRPr="002212E8" w14:paraId="0731085E" w14:textId="77777777" w:rsidTr="009A3AB7">
      <w:trPr>
        <w:trHeight w:val="272"/>
      </w:trPr>
      <w:tc>
        <w:tcPr>
          <w:tcW w:w="1716" w:type="dxa"/>
          <w:vMerge/>
        </w:tcPr>
        <w:p w14:paraId="69810615" w14:textId="77777777"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14:paraId="15D34E84" w14:textId="77777777" w:rsidR="00687B37" w:rsidRPr="002212E8" w:rsidRDefault="00687B37" w:rsidP="00687B37">
          <w:pPr>
            <w:tabs>
              <w:tab w:val="center" w:pos="4536"/>
              <w:tab w:val="right" w:pos="9072"/>
            </w:tabs>
            <w:rPr>
              <w:rFonts w:ascii="Century Gothic" w:eastAsia="Century Gothic" w:hAnsi="Century Gothic"/>
            </w:rPr>
          </w:pPr>
        </w:p>
      </w:tc>
      <w:tc>
        <w:tcPr>
          <w:tcW w:w="1536" w:type="dxa"/>
        </w:tcPr>
        <w:p w14:paraId="6677CD3B"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2150" w:type="dxa"/>
        </w:tcPr>
        <w:p w14:paraId="1D0941E1" w14:textId="77777777" w:rsidR="00687B37" w:rsidRPr="002D40E2" w:rsidRDefault="002119D5" w:rsidP="00687B37">
          <w:pPr>
            <w:tabs>
              <w:tab w:val="center" w:pos="4536"/>
              <w:tab w:val="right" w:pos="9072"/>
            </w:tabs>
            <w:rPr>
              <w:rFonts w:ascii="Times New Roman" w:eastAsia="Century Gothic" w:hAnsi="Times New Roman"/>
              <w:sz w:val="20"/>
              <w:szCs w:val="20"/>
            </w:rPr>
          </w:pPr>
          <w:r>
            <w:rPr>
              <w:rFonts w:ascii="Times New Roman" w:hAnsi="Times New Roman"/>
              <w:sz w:val="20"/>
              <w:szCs w:val="20"/>
            </w:rPr>
            <w:t>22.11</w:t>
          </w:r>
          <w:r w:rsidR="00E37029">
            <w:rPr>
              <w:rFonts w:ascii="Times New Roman" w:hAnsi="Times New Roman"/>
              <w:sz w:val="20"/>
              <w:szCs w:val="20"/>
            </w:rPr>
            <w:t>.2024</w:t>
          </w:r>
        </w:p>
      </w:tc>
    </w:tr>
    <w:tr w:rsidR="002D04A8" w:rsidRPr="002212E8" w14:paraId="133DE3A1" w14:textId="77777777" w:rsidTr="009A3AB7">
      <w:trPr>
        <w:trHeight w:val="286"/>
      </w:trPr>
      <w:tc>
        <w:tcPr>
          <w:tcW w:w="1716" w:type="dxa"/>
          <w:vMerge/>
        </w:tcPr>
        <w:p w14:paraId="7F1AB764" w14:textId="77777777"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14:paraId="3EFA6ED7" w14:textId="77777777" w:rsidR="00687B37" w:rsidRPr="002212E8" w:rsidRDefault="00687B37" w:rsidP="00687B37">
          <w:pPr>
            <w:tabs>
              <w:tab w:val="center" w:pos="4536"/>
              <w:tab w:val="right" w:pos="9072"/>
            </w:tabs>
            <w:rPr>
              <w:rFonts w:ascii="Century Gothic" w:eastAsia="Century Gothic" w:hAnsi="Century Gothic"/>
            </w:rPr>
          </w:pPr>
        </w:p>
      </w:tc>
      <w:tc>
        <w:tcPr>
          <w:tcW w:w="1536" w:type="dxa"/>
        </w:tcPr>
        <w:p w14:paraId="287AFD28" w14:textId="77777777" w:rsidR="00687B37" w:rsidRPr="002D40E2" w:rsidRDefault="00687B37"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2150" w:type="dxa"/>
        </w:tcPr>
        <w:p w14:paraId="114EB336" w14:textId="7BDF6BF1" w:rsidR="00687B37" w:rsidRPr="002D40E2" w:rsidRDefault="00573CCC"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12.09.2025</w:t>
          </w:r>
        </w:p>
      </w:tc>
    </w:tr>
    <w:tr w:rsidR="002D04A8" w:rsidRPr="002212E8" w14:paraId="25AA3D55" w14:textId="77777777" w:rsidTr="009A3AB7">
      <w:trPr>
        <w:trHeight w:val="286"/>
      </w:trPr>
      <w:tc>
        <w:tcPr>
          <w:tcW w:w="1716" w:type="dxa"/>
          <w:vMerge/>
        </w:tcPr>
        <w:p w14:paraId="48525621" w14:textId="77777777"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14:paraId="19BF0423" w14:textId="77777777" w:rsidR="00687B37" w:rsidRPr="002212E8" w:rsidRDefault="00687B37" w:rsidP="00687B37">
          <w:pPr>
            <w:tabs>
              <w:tab w:val="center" w:pos="4536"/>
              <w:tab w:val="right" w:pos="9072"/>
            </w:tabs>
            <w:rPr>
              <w:rFonts w:ascii="Century Gothic" w:eastAsia="Century Gothic" w:hAnsi="Century Gothic"/>
            </w:rPr>
          </w:pPr>
        </w:p>
      </w:tc>
      <w:tc>
        <w:tcPr>
          <w:tcW w:w="1536" w:type="dxa"/>
        </w:tcPr>
        <w:p w14:paraId="500E6584"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2150" w:type="dxa"/>
        </w:tcPr>
        <w:p w14:paraId="535958A3" w14:textId="64C4F6AA" w:rsidR="00687B37" w:rsidRPr="002D40E2" w:rsidRDefault="00573CCC"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p>
      </w:tc>
    </w:tr>
    <w:tr w:rsidR="002D04A8" w:rsidRPr="002212E8" w14:paraId="2A9AB11F" w14:textId="77777777" w:rsidTr="009A3AB7">
      <w:trPr>
        <w:trHeight w:val="272"/>
      </w:trPr>
      <w:tc>
        <w:tcPr>
          <w:tcW w:w="1716" w:type="dxa"/>
          <w:vMerge/>
        </w:tcPr>
        <w:p w14:paraId="0EFFB0BC" w14:textId="77777777"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14:paraId="022BE163" w14:textId="77777777" w:rsidR="00687B37" w:rsidRPr="002212E8" w:rsidRDefault="00687B37" w:rsidP="00687B37">
          <w:pPr>
            <w:tabs>
              <w:tab w:val="center" w:pos="4536"/>
              <w:tab w:val="right" w:pos="9072"/>
            </w:tabs>
            <w:rPr>
              <w:rFonts w:ascii="Century Gothic" w:eastAsia="Century Gothic" w:hAnsi="Century Gothic"/>
            </w:rPr>
          </w:pPr>
        </w:p>
      </w:tc>
      <w:tc>
        <w:tcPr>
          <w:tcW w:w="1536" w:type="dxa"/>
        </w:tcPr>
        <w:p w14:paraId="68723235" w14:textId="77777777"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2150" w:type="dxa"/>
        </w:tcPr>
        <w:p w14:paraId="7FFD11A4" w14:textId="419A1577" w:rsidR="00687B37" w:rsidRPr="002D40E2" w:rsidRDefault="00687B37" w:rsidP="00687B37">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573CCC">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r w:rsidR="002119D5">
            <w:rPr>
              <w:rFonts w:ascii="Times New Roman" w:eastAsia="Century Gothic" w:hAnsi="Times New Roman"/>
              <w:sz w:val="20"/>
              <w:szCs w:val="20"/>
            </w:rPr>
            <w:t>/1</w:t>
          </w:r>
        </w:p>
      </w:tc>
    </w:tr>
  </w:tbl>
  <w:p w14:paraId="0B89C583" w14:textId="77777777" w:rsidR="00687B37" w:rsidRDefault="00687B37" w:rsidP="00BE0523">
    <w:pPr>
      <w:pStyle w:val="stBilgi"/>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225325"/>
    <w:multiLevelType w:val="multilevel"/>
    <w:tmpl w:val="D24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4"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DD1B71"/>
    <w:multiLevelType w:val="hybridMultilevel"/>
    <w:tmpl w:val="33B2C19E"/>
    <w:lvl w:ilvl="0" w:tplc="5FEC5BE0">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6"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3F695F"/>
    <w:multiLevelType w:val="hybridMultilevel"/>
    <w:tmpl w:val="7AC205D6"/>
    <w:lvl w:ilvl="0" w:tplc="E1369054">
      <w:start w:val="1"/>
      <w:numFmt w:val="upp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8"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4"/>
  </w:num>
  <w:num w:numId="5">
    <w:abstractNumId w:val="0"/>
  </w:num>
  <w:num w:numId="6">
    <w:abstractNumId w:val="1"/>
  </w:num>
  <w:num w:numId="7">
    <w:abstractNumId w:val="9"/>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570A0"/>
    <w:rsid w:val="000A1185"/>
    <w:rsid w:val="000A6F07"/>
    <w:rsid w:val="000C7014"/>
    <w:rsid w:val="000D1D1F"/>
    <w:rsid w:val="000D715F"/>
    <w:rsid w:val="000E69A1"/>
    <w:rsid w:val="000F36D4"/>
    <w:rsid w:val="000F73F2"/>
    <w:rsid w:val="00107ED6"/>
    <w:rsid w:val="001551BF"/>
    <w:rsid w:val="00155DDE"/>
    <w:rsid w:val="001B5364"/>
    <w:rsid w:val="001C2A66"/>
    <w:rsid w:val="001C2B29"/>
    <w:rsid w:val="001D25C2"/>
    <w:rsid w:val="001F1344"/>
    <w:rsid w:val="002119D5"/>
    <w:rsid w:val="00212178"/>
    <w:rsid w:val="00215375"/>
    <w:rsid w:val="00227E93"/>
    <w:rsid w:val="00283102"/>
    <w:rsid w:val="002B70DF"/>
    <w:rsid w:val="002D04A8"/>
    <w:rsid w:val="0030167A"/>
    <w:rsid w:val="0030269A"/>
    <w:rsid w:val="00310BBA"/>
    <w:rsid w:val="00316029"/>
    <w:rsid w:val="00395219"/>
    <w:rsid w:val="003A3A55"/>
    <w:rsid w:val="003A42E5"/>
    <w:rsid w:val="003B07E6"/>
    <w:rsid w:val="003B7B38"/>
    <w:rsid w:val="003E58B4"/>
    <w:rsid w:val="003F5660"/>
    <w:rsid w:val="00443FD8"/>
    <w:rsid w:val="004543A3"/>
    <w:rsid w:val="00485DA0"/>
    <w:rsid w:val="004C29F9"/>
    <w:rsid w:val="004F7EA1"/>
    <w:rsid w:val="0056648D"/>
    <w:rsid w:val="00573CCC"/>
    <w:rsid w:val="005848DC"/>
    <w:rsid w:val="00614FD7"/>
    <w:rsid w:val="00624308"/>
    <w:rsid w:val="00687B37"/>
    <w:rsid w:val="006F102B"/>
    <w:rsid w:val="006F4D74"/>
    <w:rsid w:val="00797611"/>
    <w:rsid w:val="007A5076"/>
    <w:rsid w:val="007F7597"/>
    <w:rsid w:val="0080200E"/>
    <w:rsid w:val="00837274"/>
    <w:rsid w:val="00870E51"/>
    <w:rsid w:val="00876800"/>
    <w:rsid w:val="00890E0A"/>
    <w:rsid w:val="008D069E"/>
    <w:rsid w:val="008D73CA"/>
    <w:rsid w:val="008E2ACF"/>
    <w:rsid w:val="00925CC1"/>
    <w:rsid w:val="009602C1"/>
    <w:rsid w:val="009776EF"/>
    <w:rsid w:val="00991B89"/>
    <w:rsid w:val="009A3786"/>
    <w:rsid w:val="009A3AB7"/>
    <w:rsid w:val="009C2A93"/>
    <w:rsid w:val="009E4850"/>
    <w:rsid w:val="009E5D80"/>
    <w:rsid w:val="00A26F05"/>
    <w:rsid w:val="00A71BE7"/>
    <w:rsid w:val="00A82E4D"/>
    <w:rsid w:val="00A92392"/>
    <w:rsid w:val="00AD03C6"/>
    <w:rsid w:val="00AF6F66"/>
    <w:rsid w:val="00B06071"/>
    <w:rsid w:val="00B35AB7"/>
    <w:rsid w:val="00B63466"/>
    <w:rsid w:val="00B77836"/>
    <w:rsid w:val="00B837EB"/>
    <w:rsid w:val="00BB2F41"/>
    <w:rsid w:val="00BB320E"/>
    <w:rsid w:val="00BC117A"/>
    <w:rsid w:val="00BE0523"/>
    <w:rsid w:val="00BE37C4"/>
    <w:rsid w:val="00BF126D"/>
    <w:rsid w:val="00C375CE"/>
    <w:rsid w:val="00C50B74"/>
    <w:rsid w:val="00CD0F31"/>
    <w:rsid w:val="00CE6509"/>
    <w:rsid w:val="00CF6BD5"/>
    <w:rsid w:val="00D25CA8"/>
    <w:rsid w:val="00D43D94"/>
    <w:rsid w:val="00D45481"/>
    <w:rsid w:val="00D73B3F"/>
    <w:rsid w:val="00DA5A58"/>
    <w:rsid w:val="00DC667F"/>
    <w:rsid w:val="00E37029"/>
    <w:rsid w:val="00E60B63"/>
    <w:rsid w:val="00E77C67"/>
    <w:rsid w:val="00E87C9F"/>
    <w:rsid w:val="00EA05D2"/>
    <w:rsid w:val="00ED7463"/>
    <w:rsid w:val="00F11E56"/>
    <w:rsid w:val="00F92640"/>
    <w:rsid w:val="00FA7909"/>
    <w:rsid w:val="00FB25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B56C9"/>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C70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table" w:customStyle="1" w:styleId="TabloKlavuzu2">
    <w:name w:val="Tablo Kılavuzu2"/>
    <w:basedOn w:val="NormalTablo"/>
    <w:next w:val="TabloKlavuzu"/>
    <w:uiPriority w:val="59"/>
    <w:rsid w:val="009A3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60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6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569763">
      <w:bodyDiv w:val="1"/>
      <w:marLeft w:val="0"/>
      <w:marRight w:val="0"/>
      <w:marTop w:val="0"/>
      <w:marBottom w:val="0"/>
      <w:divBdr>
        <w:top w:val="none" w:sz="0" w:space="0" w:color="auto"/>
        <w:left w:val="none" w:sz="0" w:space="0" w:color="auto"/>
        <w:bottom w:val="none" w:sz="0" w:space="0" w:color="auto"/>
        <w:right w:val="none" w:sz="0" w:space="0" w:color="auto"/>
      </w:divBdr>
    </w:div>
    <w:div w:id="934240493">
      <w:bodyDiv w:val="1"/>
      <w:marLeft w:val="0"/>
      <w:marRight w:val="0"/>
      <w:marTop w:val="0"/>
      <w:marBottom w:val="0"/>
      <w:divBdr>
        <w:top w:val="none" w:sz="0" w:space="0" w:color="auto"/>
        <w:left w:val="none" w:sz="0" w:space="0" w:color="auto"/>
        <w:bottom w:val="none" w:sz="0" w:space="0" w:color="auto"/>
        <w:right w:val="none" w:sz="0" w:space="0" w:color="auto"/>
      </w:divBdr>
    </w:div>
    <w:div w:id="1457404253">
      <w:bodyDiv w:val="1"/>
      <w:marLeft w:val="0"/>
      <w:marRight w:val="0"/>
      <w:marTop w:val="0"/>
      <w:marBottom w:val="0"/>
      <w:divBdr>
        <w:top w:val="none" w:sz="0" w:space="0" w:color="auto"/>
        <w:left w:val="none" w:sz="0" w:space="0" w:color="auto"/>
        <w:bottom w:val="none" w:sz="0" w:space="0" w:color="auto"/>
        <w:right w:val="none" w:sz="0" w:space="0" w:color="auto"/>
      </w:divBdr>
    </w:div>
    <w:div w:id="1563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24C1-498F-4D2B-B676-3E1C4829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2025-09-11T15:36:00Z</dcterms:created>
  <dcterms:modified xsi:type="dcterms:W3CDTF">2025-09-12T12:08:00Z</dcterms:modified>
</cp:coreProperties>
</file>